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29" w:rsidRDefault="00A51500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Додаток 2</w:t>
      </w:r>
    </w:p>
    <w:p w:rsidR="00495F29" w:rsidRDefault="00A51500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42 сесії міської ради</w:t>
      </w:r>
    </w:p>
    <w:p w:rsidR="00495F29" w:rsidRDefault="00A51500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  <w:lang w:val="uk-UA"/>
        </w:rPr>
        <w:t xml:space="preserve"> скликання</w:t>
      </w:r>
    </w:p>
    <w:p w:rsidR="00495F29" w:rsidRDefault="00A51500">
      <w:pPr>
        <w:pStyle w:val="afc"/>
        <w:keepLines/>
        <w:spacing w:after="0"/>
        <w:ind w:left="552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15.12.2023 № 5/42/</w:t>
      </w:r>
      <w:r>
        <w:rPr>
          <w:sz w:val="24"/>
          <w:szCs w:val="24"/>
          <w:lang w:val="en-US"/>
        </w:rPr>
        <w:t>VIII</w:t>
      </w:r>
    </w:p>
    <w:p w:rsidR="00495F29" w:rsidRDefault="00495F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5F29" w:rsidRDefault="00495F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495F29" w:rsidRDefault="00A51500">
      <w:pPr>
        <w:shd w:val="clear" w:color="FFFFFF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:rsidR="00495F29" w:rsidRDefault="00A51500">
      <w:pP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адміністративних послуг, які надаються через сектор </w:t>
      </w:r>
    </w:p>
    <w:p w:rsidR="00495F29" w:rsidRDefault="00A51500">
      <w:pP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«Територіальний підрозділ відділу з питань організації надання адміністративних послуг» ЦНАП Носівської міської ради</w:t>
      </w:r>
    </w:p>
    <w:p w:rsidR="00495F29" w:rsidRDefault="00A51500">
      <w:pP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(17130, Чернігівська область, Ніжинський район, </w:t>
      </w:r>
    </w:p>
    <w:p w:rsidR="00495F29" w:rsidRDefault="00A51500">
      <w:pP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с.Володькова Дівиця, вул.Центральна, буд 79)</w:t>
      </w:r>
    </w:p>
    <w:p w:rsidR="00495F29" w:rsidRDefault="00495F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035"/>
        <w:gridCol w:w="1672"/>
        <w:gridCol w:w="3080"/>
        <w:gridCol w:w="3075"/>
      </w:tblGrid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послуги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послуг відповідно до Гіду з державних послуг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Реєстрація/зняття з реєстрації мешканців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місця перебування особи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свободу пересування та вільний вибір місця проживання в Україні»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  від 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12.2021 №1871-ІХ; 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від 07.02.2022 №265 «Деякі питання декларування і реєстрації місця проживання та ведення реєстрів територіальної громади» 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особи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 з реєстрації місця проживання особи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про реєстрацію місця проживання особи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01898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01306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Паспортні послуги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***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Вклеювання до паспорта громадянина України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зразка 1994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фотокартки при досягненні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громадянином 25- або 45-річного віку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 про паспорт громадянина України, затверджене постановою Верховної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 26 червня 1992 року № 2503-ХІІ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від 25.03.2015 №302 «Про затвердження зр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України»  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Постанова КМУ від 07.05.2014 №152 «Про затвердження зразка бланка, технічного опису та Порядку оформлення, видачі, обміну, пересилання, вилучення, пов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ернення державі, визнання недійсним та знищення паспорта громадянина України для виїзду за кордон»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нерухомості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2A2928"/>
                <w:lang w:val="uk-UA"/>
              </w:rPr>
              <w:t>00041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</w:rPr>
            </w:pPr>
            <w:r>
              <w:rPr>
                <w:color w:val="2A2928"/>
              </w:rPr>
              <w:t>Державна</w:t>
            </w:r>
            <w:r>
              <w:rPr>
                <w:color w:val="2A2928"/>
                <w:lang w:val="uk-UA"/>
              </w:rPr>
              <w:t xml:space="preserve"> </w:t>
            </w:r>
            <w:r>
              <w:rPr>
                <w:color w:val="2A2928"/>
              </w:rPr>
              <w:t>реєстрація</w:t>
            </w:r>
            <w:r>
              <w:rPr>
                <w:color w:val="2A2928"/>
                <w:lang w:val="uk-UA"/>
              </w:rPr>
              <w:t xml:space="preserve">  </w:t>
            </w:r>
            <w:r>
              <w:rPr>
                <w:color w:val="2A2928"/>
              </w:rPr>
              <w:t>права власності на нерухоме майно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00042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Державна реєстрація інш</w:t>
            </w:r>
            <w:r>
              <w:rPr>
                <w:color w:val="000000"/>
                <w:lang w:val="uk-UA"/>
              </w:rPr>
              <w:t>ого</w:t>
            </w:r>
            <w:r>
              <w:rPr>
                <w:color w:val="000000"/>
              </w:rPr>
              <w:t xml:space="preserve"> (відмінн</w:t>
            </w:r>
            <w:r>
              <w:rPr>
                <w:color w:val="000000"/>
                <w:lang w:val="uk-UA"/>
              </w:rPr>
              <w:t>ого</w:t>
            </w:r>
            <w:r>
              <w:rPr>
                <w:color w:val="000000"/>
              </w:rPr>
              <w:t xml:space="preserve"> від права власності) речов</w:t>
            </w:r>
            <w:r>
              <w:rPr>
                <w:color w:val="000000"/>
                <w:lang w:val="uk-UA"/>
              </w:rPr>
              <w:t>ого</w:t>
            </w:r>
            <w:r>
              <w:rPr>
                <w:color w:val="000000"/>
              </w:rPr>
              <w:t xml:space="preserve"> прав</w:t>
            </w:r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на нерухоме майно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обтяжень нерухомого майна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Взяття на облік безхазяйного нерухомого майна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00043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</w:rPr>
            </w:pPr>
            <w:r>
              <w:rPr>
                <w:color w:val="000000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Скасування запису Державного реєстру речових прав на нерухоме майно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скасування державної реєстрації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речових прав на нерухоме майно та їх обтяжень, скасування р</w:t>
            </w:r>
            <w:r>
              <w:rPr>
                <w:color w:val="000000"/>
                <w:shd w:val="clear" w:color="auto" w:fill="FFFFFF"/>
                <w:lang w:val="uk-UA"/>
              </w:rPr>
              <w:t>ішення державного реєстратора  (за рішенням суду)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00043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</w:rPr>
              <w:t>Скасування рішення державного реєстратора</w:t>
            </w:r>
          </w:p>
        </w:tc>
        <w:tc>
          <w:tcPr>
            <w:tcW w:w="3084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Рішення суду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308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01174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Заборона вчинення реєстраційних дій</w:t>
            </w:r>
          </w:p>
        </w:tc>
        <w:tc>
          <w:tcPr>
            <w:tcW w:w="30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Реєстрація бізнесу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Державна реєстрація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створення </w:t>
            </w:r>
            <w:r>
              <w:rPr>
                <w:color w:val="000000"/>
                <w:shd w:val="clear" w:color="auto" w:fill="FFFFFF"/>
              </w:rPr>
              <w:t>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>крім</w:t>
            </w:r>
            <w:r>
              <w:rPr>
                <w:color w:val="000000"/>
                <w:shd w:val="clear" w:color="auto" w:fill="FFFFFF"/>
              </w:rPr>
              <w:t xml:space="preserve"> громадського формування)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</w:t>
            </w:r>
            <w:r>
              <w:rPr>
                <w:color w:val="000000"/>
                <w:shd w:val="clear" w:color="auto" w:fill="FFFFFF"/>
                <w:lang w:val="uk-UA"/>
              </w:rPr>
              <w:t>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переходу юридичної особи з модельного статуту на діяльність на п</w:t>
            </w:r>
            <w:r>
              <w:rPr>
                <w:color w:val="000000"/>
                <w:shd w:val="clear" w:color="auto" w:fill="FFFFFF"/>
              </w:rPr>
              <w:t>ідставі установчого документа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Державна реєстрація включення відомостей про юридичну особу-підприємця, зареєстровану до 1 липня 2004 р., </w:t>
            </w:r>
            <w:r>
              <w:rPr>
                <w:color w:val="000000"/>
                <w:shd w:val="clear" w:color="auto" w:fill="FFFFFF"/>
                <w:lang w:val="uk-UA"/>
              </w:rPr>
              <w:t>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00058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рішення про виділ юридичної особи (крім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00073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</w:t>
            </w:r>
            <w:r>
              <w:rPr>
                <w:color w:val="000000"/>
                <w:shd w:val="clear" w:color="auto" w:fill="FFFFFF"/>
              </w:rPr>
              <w:t>єстрація рішення про припинення 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>крім</w:t>
            </w:r>
            <w:r>
              <w:rPr>
                <w:color w:val="000000"/>
                <w:shd w:val="clear" w:color="auto" w:fill="FFFFFF"/>
              </w:rPr>
              <w:t xml:space="preserve">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рішення про відміну рішення про припинення 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крім </w:t>
            </w:r>
            <w:r>
              <w:rPr>
                <w:color w:val="000000"/>
                <w:shd w:val="clear" w:color="auto" w:fill="FFFFFF"/>
              </w:rPr>
              <w:t>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особи(крім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припинення юридичної особи в результаті її ліквідації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</w:t>
            </w:r>
            <w:r>
              <w:rPr>
                <w:color w:val="000000"/>
                <w:shd w:val="clear" w:color="auto" w:fill="FFFFFF"/>
                <w:lang w:val="uk-UA"/>
              </w:rPr>
              <w:t>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припинення юридичної особи в результаті її реорганізації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00087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2A2928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Державна реєстрація створення відокремленого підрозділу юридичної особи (</w:t>
            </w:r>
            <w:r>
              <w:rPr>
                <w:color w:val="000000"/>
                <w:shd w:val="clear" w:color="auto" w:fill="FFFFFF"/>
                <w:lang w:val="uk-UA"/>
              </w:rPr>
              <w:t>крім</w:t>
            </w:r>
            <w:r>
              <w:rPr>
                <w:color w:val="000000"/>
                <w:shd w:val="clear" w:color="auto" w:fill="FFFFFF"/>
              </w:rPr>
              <w:t xml:space="preserve">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rPr>
          <w:trHeight w:val="15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00092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Державна реєстрація припинення відокремленого підрозділу юридичної особи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Державна реєстрація включення відомостей про фізичну особу - підприємця, зареєстровану до 1 липня 2004 р.,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tj2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Державна реєстрація змін до відомостей про фізичну особу - підприємця, які містяться в Єдиному державному реєстрі юридичних осіб та фізичних осіб - підприємців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00107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00234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витягу з Єдиного державного реєстру юридичних осіб та фізичних осіб-підприємців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00235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Виписки з Єдиного державного реєстру юридичних осіб та фізичних осіб-підприємців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00683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01179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Виправлення помилок, допущених у відомостях Єдиного державного реєстру юридичних, фізичних осіб-підприємців та громадських формувань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створення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єднання 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міститься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00055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Державна реєстрація змін до відомостей про громадське об’єднання,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містяться в Єдиному державному реєстрі юридичних осіб,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00335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комісії з припинення (комісії з реорганізації, ліквідації комісії) громадського об’єднання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00098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 в результаті його ліквідації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00102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 в результаті його реорганізації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0086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рішення про виділ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00077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рішення про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04-31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00084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рішення про відміну рішення про припинення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00089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створення відокремленого підрозділу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00091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внесення змін до відомостей про відокремлений підрозділ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00093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Державна реєстрація припинення відокремленого підрозділу громадського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Земельні питання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Прийняття рішення про надання дозволу щодо поділу/об’єднанню земельної ділянки комунальної власності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Прийняття рішення щодо затвердження документів із землеустрою щодо поділу/об’єднанню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земельної ділянки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Земельний кодекс України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землеустрій”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дозволу на розроб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проекту землеустрою щодо відведення земельної ділянки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“Про землеустрій</w:t>
            </w:r>
          </w:p>
        </w:tc>
      </w:tr>
      <w:tr w:rsidR="00495F29">
        <w:trPr>
          <w:trHeight w:val="5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діючого договору оренди земельної ділянки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00192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договору оренди земельної ділянки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оренду землі»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00189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 договору оренди земельної ділянки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дозволу на проведення експ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ертної грошової оцінки земельної ділянки та продаж земельної ділянки несільськогосподарського призначення (на якій розташовано об’єкт нерухомого майна, що є власністю покупця цієї ділянки), межі якої визначено в натурі та без зміни її цільового призначення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оцінку земель»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користування земельною ділянкою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 власність земельної ділянки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 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 «Про землеустрій»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оренду 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ок, що перебувають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власності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Земельний кодекс України, Закон України «Про оренду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землі», Закон України «Про державний земельний кадастр»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01161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постійне користування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державний земельний кадастр»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02146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дозволу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розробку проекту землеустрою щодо відведення земельної ділянки зі зміною цільового призначення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Земельний кодекс України,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України «Про місцеве самоврядування в Україні», Закон України «Про землеустрій»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00217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(зі зміною цільового призначення)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05-16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Відмова від земельної ділянки, яка знаходиться у користуванні у разі добровільної відмови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власника землі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місцеве самоврядування в Україні»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про наявність та розмір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(використання)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землеустрій»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Виправлення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ічної помилки у відомостях з Державного земельного кадастру, допущеної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органом, що здійснює його ведення, з видачею витягу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495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  <w:p w:rsidR="00495F29" w:rsidRDefault="0049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кадастру відомостей (змін до них) про земельну ділянку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00059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numPr>
                <w:ilvl w:val="0"/>
                <w:numId w:val="3"/>
              </w:numPr>
              <w:spacing w:before="150" w:after="150" w:line="1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Внесення до Державного земельного кадастру відомостей (змін до них) про землі в межах території адміністративно-територіальних одиниць з видачею витягу;</w:t>
            </w:r>
          </w:p>
          <w:p w:rsidR="00495F29" w:rsidRDefault="00A51500">
            <w:pPr>
              <w:pStyle w:val="rvps14"/>
              <w:spacing w:before="150" w:after="150" w:line="15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2) Надання відомостей з Державного земельного кадастру у формі витягу з Державного земельного кадастру </w:t>
            </w:r>
            <w:r>
              <w:rPr>
                <w:color w:val="000000" w:themeColor="text1"/>
                <w:lang w:val="uk-UA"/>
              </w:rPr>
              <w:t>про обмеження у використанні земель</w:t>
            </w:r>
            <w:r>
              <w:rPr>
                <w:color w:val="000000" w:themeColor="text1"/>
              </w:rPr>
              <w:t>;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05-28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 00244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Отримання довідки про наявність у фізичної особи земельних ділянок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 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землеустрій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05-29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Продаж земельних ділянок комунальної власності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України(ст. ст. 125, 127, 128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Закон України “Про місцеве самоврядування в Україні” Закон України “Про дозвільну систему у сфері господарської діяльності” Закон України “Про внесення змін до деяких законодавчих актів україни щодо розмежування земель державної та комунальної власності”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05-30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Продаж права оренди земельної ділянки шляхом укладання договору оренди земельної ділянки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 (ст. ст. 12, 124, 127, 134, 137) 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(ст. 33) Закон України “Про внесення змін до деяких законодавчих актів україни щодо розмежування земель державної та комунальної власності”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Про місцеве самоврядування ст. 25, 26, 59 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дозвільну систему у сфері господарської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02455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</w:t>
            </w:r>
            <w:r>
              <w:rPr>
                <w:color w:val="000000" w:themeColor="text1"/>
                <w:lang w:val="uk-UA"/>
              </w:rPr>
              <w:t>одії з державного реєстру речових прав на нерухоме майно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Державний земельний кадастр»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землеустрій»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02456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rvps14"/>
              <w:spacing w:before="150" w:after="150" w:line="15" w:lineRule="atLeast"/>
              <w:ind w:left="720"/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Надан</w:t>
            </w:r>
            <w:r>
              <w:rPr>
                <w:color w:val="000000" w:themeColor="text1"/>
                <w:lang w:val="uk-UA"/>
              </w:rPr>
              <w:t xml:space="preserve">ня відомостей </w:t>
            </w:r>
            <w:r>
              <w:rPr>
                <w:color w:val="000000" w:themeColor="text1"/>
                <w:lang w:val="uk-UA"/>
              </w:rPr>
              <w:lastRenderedPageBreak/>
              <w:t>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01 січня 2013р.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«Про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Державний земельний кадастр»</w:t>
            </w:r>
          </w:p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Земельний кодекс України, Закон України «Про землеустрій»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 місцевого значення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навпаки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дозвільну  систему  у  сфері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господарської діяльності», Закон України «Про перелік </w:t>
            </w:r>
          </w:p>
          <w:p w:rsidR="00495F29" w:rsidRDefault="00A515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документів дозвільного характеру у сфері господарської </w:t>
            </w:r>
          </w:p>
          <w:p w:rsidR="00495F29" w:rsidRDefault="00A515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(продовження дії) дозволу на розміщення реклами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будівельного паспорту (внесення змін до будівельного паспорту)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забудови земельної ділянки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(внесення змін) містобудівних умов і обмежень забудови земельної ділянки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(погодження) режиму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підприємств, установи та організацій сфери обслуговування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місцеве самоврядування в Україні»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лік документів дозвільного характеру у сфері господарської діяльності»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дозволу на порушення об’єктів благоустрою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дозвільну систему у сфері господарської діяльності», Закон України «Про благоустрій населених пункті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на лікування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"Про державну соціальну допомогу малозабезпеченим сім"ям"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02159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учасникам ВВВ , учасникам АТО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(ООС)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"Про місцеве самоврядування в Україні", Бюджетний кодекс України, ЗУ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державну соціальну допомогу малозабезпеченим сім"ям"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допомоги  незахищеним верстам населення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на поховання деяких категорій громадян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малозабезпеченим сім'ям»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00134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регулювання містобудівної діяльності»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00145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 до повідомлення про початок виконання підготовчих робіт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02475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Припинення права на початок виконання підготовчих робіт, набутого на підставі повідомлення, за заявою замовника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01189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 до декларації про початок виконання підготовчих робіт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01208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Реєстрація повідомлення про початок виконання будівельних робіт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00146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змін до повідомлення про початок виконання будівельних робіт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00138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декларації про готовність об’єкта до експлуатації (відповідно до пункту 9 розділу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“Прикінцеві положення” Закону України “Про регулювання містобудівної діяльності”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01376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декларації про готовність об’єкта до експлуатації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06-23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02423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Внесення змін до декларації про готовність об’єкта до експлуатації (відповідно до пункту 9 розділу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“Прикінцеві положення Закону України “Про регулювання містобудівної діяльності”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06-24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00140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Внесення змін до декларації про готовність об’єкта до експлуатації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01902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Внесення змін до декларації про початок виконання будівельних 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01188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права на початок виконання будівельних робіт, набутого на підставі повідомлення, за заявою замовника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проведення поховання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пенсійне забезпечення осіб, звільнених з військової служби, та деяких інших осіб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реєстрацію та проживання особи станом на 15.04.1991 року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02045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реєстрацію та спільне проживання матері й дитини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спільне проживання, ведення спільного господарства та проведення поховання для одержання недоотриманої пенсії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звернення громадян від 02.10.1996 року №393/96-ВР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загальнообов’язкове держа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 пенсійне страхування  від 03.07.2003р. № 1058-ГУ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01844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фактичне місце проживання особи на території міської ради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адміністративні послуги від 06.09.2012 № 5203-УІ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Про місцеве самоврядування в Україні від 21.05.1997 № 280/97-ВР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заяви на отримання компенсації витрат, що пов’язані з безоплатним розміщенням внутрішньо переміщених осіб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rPr>
          <w:trHeight w:val="2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Нотаріальні послуги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07-01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про склад сім’ї (про склад зареєстрованих у житловому приміщенні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осіб)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України «Про державну соціальну допомогу малозабезпеченим сім'ям»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01239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 заповіту (крім секретного)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Скасування заповіту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дублікату документа посвідченого органом місцевого самоврядування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Засвідчення справжності підпису на документах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довіреностей прирівняних до нотаріального посвідчення,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нотаріат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Послуги соціального характеру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представниками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СЗН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Ніжинської (Носівської) РДА)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довідки для отримання пільг інвалідам, які не мають права на пенсію чи соціальну допомогу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основи соціальної захищеності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Наданна допомоги в зв’язку з вагітністю і пологами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 України «Про державну допомогу сім’ям з дітьми»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допомоги при усиновленні дитини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соціальної допомоги інвалідам з дитинства та дітям інвалідам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особам з інвалідністю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дитинства та дітям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надбавки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догляд особам з інвалідністю з дитинства та дітям з інвалідністю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9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державної соціальної допомоги особам, які не мають права на пенсію та особам з інвалідністю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компенсації фізичній особі, яка надає соціальні послуги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29.04.2004 № 558 “Про затвердження Порядку призначення і виплати компенсації фізичним особам, які надають соціальні послуги” 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01579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щомісячної компенсаційної виплати по догляду за інвалідом І групи або престарілим, який досяг 80-річного віку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20.03.2019 №233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державної допомоги окремим категоріям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щомісячної грошової допомоги особі, яка проживає разом з особою з інвалідом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02.08.2000 № 1192 "Про надання щомісячної грошової допомоги малозабезпеченій особі, яка проживає разом з інвалідом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внаслідок психічного розладу, який за висновком лікарської комісії медичного закладу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отребує постійного стороннього догляду, на догляд за ним"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путівками для оздоровлення та відпочинку дітей пільгових категорій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«Про оздоровлення та відпочинок дітей»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статусу та видача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інвалідністю внаслідок війни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статус ветеранів війни, гарантії їх соціального захисту» 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статусу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видача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часник війни»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становлення статусу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видача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сім’ї померлого (загиблого) ветерана війни”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України «Про статус ветеранів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ійни, гарантії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соціального захисту» 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грошової компенсації вартості самостійного санаторно-курортного лікування особам з інвалідністю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основи соціальної захищеності осіб з інвалідністю внаслідок війни в Україні»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путівками на санаторно-курортне лікування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08-18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статус ветеранів війни, 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нтії їх соціального захисту»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02499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Позбавлення статусу особи з інвалідністю внаслідок війни, члена сім’ї загиблого (померлого) Захисника чи Захисниці України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-"-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01735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Прийняття р</w:t>
            </w:r>
            <w:r>
              <w:rPr>
                <w:sz w:val="24"/>
                <w:szCs w:val="24"/>
              </w:rPr>
              <w:t>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статус ветеранів війни, гарантії їх соціального захисту”;</w:t>
            </w:r>
          </w:p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 України “Про жертви нацистських переслідувань</w:t>
            </w:r>
            <w:r>
              <w:rPr>
                <w:sz w:val="24"/>
                <w:szCs w:val="24"/>
              </w:rPr>
              <w:t>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02216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поховання та похоронну справу”; Закон України “Про статус ветеранів війни, гарантії їх соціального захисту”;</w:t>
            </w:r>
          </w:p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 України “Про основні засади соціального захисту ветеранів праці та інших громадян похилого віку в Україні”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02500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-"-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02501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Отримання громадськими об’єднаннями ветеранів війни безплатно п</w:t>
            </w:r>
            <w:r>
              <w:rPr>
                <w:sz w:val="24"/>
                <w:szCs w:val="24"/>
              </w:rPr>
              <w:t xml:space="preserve">риміщень </w:t>
            </w:r>
            <w:r>
              <w:rPr>
                <w:sz w:val="24"/>
                <w:szCs w:val="24"/>
              </w:rPr>
              <w:lastRenderedPageBreak/>
              <w:t>для здійснення статутних завдань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lastRenderedPageBreak/>
              <w:t xml:space="preserve">Закону України “Про статус ветеранів війни, гарантії їх соціального </w:t>
            </w:r>
            <w:r>
              <w:rPr>
                <w:sz w:val="24"/>
                <w:szCs w:val="24"/>
              </w:rPr>
              <w:lastRenderedPageBreak/>
              <w:t>захисту”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01588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Встановлення статусу постраждалого учасника Революції Гідності, видача посвідчення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статус ветеранів в</w:t>
            </w:r>
            <w:r>
              <w:rPr>
                <w:sz w:val="24"/>
                <w:szCs w:val="24"/>
              </w:rPr>
              <w:t>ійни, гарантії їх соціального захисту” 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Постанова Кабінету Міністр</w:t>
            </w:r>
            <w:r>
              <w:rPr>
                <w:sz w:val="24"/>
                <w:szCs w:val="24"/>
              </w:rPr>
              <w:t>ів України від 28.02.2018 № 119 “Деякі питання соціального захисту постраждалих учасників Революції Гідності”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01198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 xml:space="preserve">Вклеювання бланка-вкладки до посвідчення учасника бойових дій, особи з інвалідністю внаслідок війни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і </w:t>
            </w: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uk-UA"/>
              </w:rPr>
              <w:t xml:space="preserve">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Закону України “Про статус ветеранів війни, гарантії їх соціального захисту”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02347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Призначення виплати щорічної разової грошової допомоги вет</w:t>
            </w:r>
            <w:r>
              <w:rPr>
                <w:sz w:val="24"/>
                <w:szCs w:val="24"/>
              </w:rPr>
              <w:t>еранам війни і жертвам нацистських переслідувань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статус ветеранів війни, гарантії їх соціального захисту”;</w:t>
            </w:r>
          </w:p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 України “Про жертви нацистських переслідувань”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00241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 w:hanging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08-28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ind w:firstLine="140"/>
              <w:jc w:val="left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t>00237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>Встановлення</w:t>
            </w:r>
            <w:r>
              <w:rPr>
                <w:sz w:val="24"/>
                <w:szCs w:val="24"/>
                <w:lang w:val="uk-UA"/>
              </w:rPr>
              <w:t xml:space="preserve">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 Федерації у Донецькій та Луганській об</w:t>
            </w:r>
            <w:r>
              <w:rPr>
                <w:sz w:val="24"/>
                <w:szCs w:val="24"/>
                <w:lang w:val="uk-UA"/>
              </w:rPr>
              <w:t xml:space="preserve">ластях, здійснення </w:t>
            </w:r>
            <w:r>
              <w:rPr>
                <w:sz w:val="24"/>
                <w:szCs w:val="24"/>
                <w:lang w:val="uk-UA"/>
              </w:rPr>
              <w:lastRenderedPageBreak/>
              <w:t>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pStyle w:val="aff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</w:rPr>
              <w:lastRenderedPageBreak/>
              <w:t>-" -</w:t>
            </w:r>
          </w:p>
        </w:tc>
      </w:tr>
      <w:tr w:rsidR="00495F2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Пенсійного фонду*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призначення пенсії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щодо зміни способу виплати пенсії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виготовлення пенсійного посвідчення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загальнообов’язкове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державне пенсійне 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замовлень на видачу довідок про розмір пенсії, про перебування на обліку та інших документів</w:t>
            </w:r>
          </w:p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перерахунку пенсії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агальнообов’язкове державне пенсійне 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виплати недоотриманої пенсії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та необхідних документів для переведення виплати пенсії за новим місцем проживання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загальнообов’язкове державне пенсійне 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00253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заяв щодо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способу виплати пенсії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раїни «Про загальнообов’язкове державне пенсійне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страхування»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 соціального характеру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155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Державна допомога сім’ям з дітьми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допомогу сім'ям з дітьми»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00143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зв'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язку з вагітністю та пологами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народженні дитини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при усиновленні дитини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дітей, над якими встановлено опіку чи піклування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дітей одиноким матерям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особі, яка доглядає за хворою дитиною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малозабезпеченим сім'ям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соціальну допомогу малозабезпеченим сім’ям»</w:t>
            </w:r>
          </w:p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соц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іальну допомогу особам з інвалідністю з дитинства та дітям з інвалідністю»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00151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особам з інвалідністю з дитинства та дітям з інвалідністю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з дитинства 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з дитинства II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з дитинства III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дітей з інвалідністю віком до 18 років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особою з інвалідністю з дитинства підгрупи А 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особою з інвалідністю з дитинства підгрупи Б 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на догляд за одинокими особами з інвалідністю з дитинства II і III груп, які за висновком лікарсько-консультативної комісії закладу охорони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здоров'я потребують постійного стороннього догляду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дитиною з інвалідніст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 віком до 6 років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Надбавка на догляд за дитиною з інвалідністю віком від 6 до 18 років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особам, які не мають права на пенсію, та особам з інвалідністю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соц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іальну допомогу особам, які не мають права на пенсію, та особам з інвалідністю»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II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 з інвалідністю III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жінкам, яким присвоєно звання України "Мати-героїня"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священнослужителям, церковнослужителям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особам, які досягли віку, що дає право на призначення допомоги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дитині померлого годувальника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догляд одиноким малозабезпеченим особам, які за висновком лікарсько-консультативної комісії закладу охорони здоров'я потребують постійного стороннього догляду (кр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 осіб з інвалідністю I групи)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догляд малозабезпеченим особам з інвалідністю підгрупи А 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184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на догляд малозабезпеченим особам з інвалідністю підгрупи Б  I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на догляд одиноким особам, які досягли 80-річного віку та за висновком лікарсько-консультативної комісії закладу охорони здоров'я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потребують постійного стороннього догляду (крім осіб з інвалідністю внаслідок війни)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186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Компенсаційні виплати та допомога громадянам, які постраждали внаслідок Чорнобильської катастрофи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Одноразова компенсація учасникам ліквідації наслідків аварії на Чорнобильській АЕС, які стали особами з інвалідністю внаслідок Чорнобильської катастрофи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Одноразова компенсація дітям, які стали особами з інвалідністю внаслідок Чорнобильської катастрофи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Одноразова компенсація сім'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ям, які втратили годувальника із числа осіб, віднесених до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Щорічна допомога на оздоровлення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Грошова компенсація замість путівки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Компенсація проїзду один раз на рік до будь-якого населеного пункту України і назад автомобільним, або повітряним, або залізничним, або водним транспортом особам, віднесеним до категорій 1 та 2 постраждалих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внаслідок Чорнобильської катастрофи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Компенсація 50 (25) відсотків вартості продуктів харчування за медичними (фізіологічними) нормами, встановленими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Міністерством охорони здоров'я України, громадянам, віднесеним до категорій 1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 постраждалих внаслідок Чорнобильської катастрофи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Щомісячна грошова компенсація на дітей, 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харчуються в закладах освіти, розташованих на територіях радіоактивного забруднення, та дітей, які є особами з інвалідністю внаслідок Чорнобильської катастрофи і не харчуються в закладах освіти, у тому числі за дні, в які вони не відвідували ці заклади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Тимчасова державна допомога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Постанова КМУ від 22.02.2006 року №189 «Про затвердження Порядку призначення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Соціальна допомога на дітей-сиріт та дітей, позбавлених батьківського піклуванн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я, грошове забезпечення батькам-вихователям і прийомним батькам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26.06.2019 року №552 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оціальної допомоги на утримання дитини в сім’ї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патронатного вихователя,підтримки малих групових будинків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Допомога на догляд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(щомісячна грошова допомога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нею)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психіатричну допомогу», постанови КМУ від 02.08.2000 року №1192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надання щомісячної грошової допомоги особі, яка проживає разом з особою 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інвалідністю I чи II групи внаслідок психічного розладу, яка за висновком лікарської комісії  закладу охорони здоров’я потребує постійного стороннього догляду, на догляд за нею»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Грошова компенсація замість санаторно-курортної путівки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Законів України «</w:t>
            </w:r>
            <w:hyperlink r:id="rId11" w:tooltip="https://zakon.rada.gov.ua/laws/show/3551-12" w:history="1">
              <w:r>
                <w:rPr>
                  <w:rStyle w:val="af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Про статус ветеранів війни, гарантії їх соціального захисту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Компенсація вартості самостійного санаторно-курортного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лікування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Одноразова винагорода жінці, якій присвоєно почесне звання України "Мати-героїня"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Указ Президента України «Про одноразову винагороду жінкам,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яким присвоєно почесне звання України "Мати-героїня"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», Постанови КМУ від 08.02.2011 року №268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виплату одноразової винагороди жінкам, яким присвоєно почесне звання України "Мати-героїня", та одноразової матеріальної допомоги особам, які постраждали від торгівлі людьми»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Одноразова матеріальна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допомога особі, яка постраждала від торгівлі людьми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               25 липня 2012 року №660 «Про затвердження Порядку виплати одноразової матеріальної допомоги особам, які постраждали від торгівлі людьми»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00252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Допомога на поховання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 України «Про державну соціальну допомогу інвалідам з дитинства та дітям-інвалідам», Закон України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«Про державну соціальну допомогу особам, які не мають права на пенсію, та особам з інвалідністю», Закон України «Про внесення змін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деяких законодавчих актів України щодо підвищення пенсій»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Тимчасова державна соціальна допомога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27.12.2017 року №1098 «Про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00960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Допомога на дітей, 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 виховуються у багатодітних сім'ях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Постанова КМУ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13.03.2019 №250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Деякі питання надання соціальної підтримки багатодітним сім’ям»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01775</w:t>
            </w:r>
          </w:p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(01227)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Призначення грошової компенсації вартості одноразової натуральної допомоги «пакунок малюка»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 України «Про державну допомогу сім'ям з дітьми»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Надання послуг «муніципальна няня»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 30 січня 2019 року №68 «Деякі питання надання послуги з догляду за дитиною до трьох років “муніципальна няня”»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Державна соціальна допомога на утримання дитини в сім’ї патронатного вихователя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20.08.2021 року №893 «Деякі питання захисту прав дитини та надання послуги патронату над дитиною»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санаторно-курортним лікуванням (ЧАЕС)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 України «Про статус і соціальний захист громадян, які постраждали внаслідок Чорнобильської катастрофи»,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Постанови КМУ від 23.11.2016 року №854 «Деякі питання санаторно-курортного лікування та відпочинку громадян, які постраждали внаслідок Чорнобильської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катастрофи»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 комплексних реабілітаційних (абілітаційних)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Постанови КМУ від 19.01.2022 року №31 «Про затвердження Порядку здійснення реабілітаційних заходів»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Направлення дитини з інвалідністю до реабілітаційної установи для отримання реабілітаційних послуг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Взяття на обл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 внутрішньо переміщеної особи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Закону України «Про забезпечення прав і свобод внутрішньо переміщених осіб»,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Постанови КМУ від 01.10.2014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року №509 «Про облік внутрішньо переміщених осіб»,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Постанови КМУ від 20.03.2022 року № 332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Деякі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виплати допо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моги на проживання внутрішньо переміщеним особам»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 допомоги на проживання внутрішньо переміщеним особам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Надання соціальних послуг з догляду на непрофесійній основі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Постанова КМУ від 23.09.2020 року №859 «Деякі питання призначення і виплати компенсації фізичним особам, які надають соціальні послуги з догляду на непрофесійній основі»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особам з інвалідністю І групи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дітям з інвалідністю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громадянам похилого віку з когнітивними порушеннями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невиліковно хворим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за надання соціальних послуг дітям, яким не встановлено інвалідність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Надання соціальних послуг з догляду на професійній основі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Постанова КМУ від 06.10.2021 року                №1040 «Деякі питання призначення і виплати компенсації фізичним особам, які надають соціальні послуги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догляду без здійснення підприємницької діяльності на професійній основі»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Призначення та надання житлової субсидії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Постанова КМУ від 21.10.1995 року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ого палива»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Придбання твердого палива і скрапленого газу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00959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Оплату житлово-комунальних послуг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Надання пільг на оплату житлово-комунальних послуг, придбання твердого палива і скрапленого газу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Законів України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статус ветеранів війни, гарантії їх соціального захисту»,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жертви нацистських переслідувань»,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статус і соціальний захист громадян, які постраждали внаслідок Чорнобильської катастрофи», «Про статус ветеранів військової служби,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ветеранів органів внутрішніх справ, ветеранів Національної поліції і деяких інших осіб та їх соціальний захист»,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Національну поліцію», «Про освіту», «Про бібліотеки і бібліотечну справу»,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 культуру»,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захист рослин», «Про охорону дитинства»,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Основи законодавства України про охорону здоров'я», «Гірничого закону України», Бюджетного кодексу України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Придбання твердого палива і скрапленого газу</w:t>
            </w: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01974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Оплату житлово-комунальних послуг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02063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посвідчень батьків багатодітної сім’ї та дитини з багатодітної сім’ї</w:t>
            </w: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Постанова КМУ від 02.03.2010 р. №209 «Деякі питання виготовлення і видачі посвідчень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батьків багатодітної сім’ї та дитини з багатодітної сім’ї» зі змінами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01286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статусу учасника бойових дій,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видача посвідчення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“Про статус ветеранів війни, гарантії їх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соціального захисту”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01285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Позбавлення статусу учасника бойових дій за заявою такої особи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війни, гарантії їх соціального захисту”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01877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ooltip="https://zakon.rada.gov.ua/laws/show/3236-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Закон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волонтерську діяльність”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01597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нового посвідчення учасника бойових дій, особи з інвалідністю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війни, гарантії їх соціального захисту”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одноразової грошової допомоги членам сім’ї, батькам та утриманцям волонтера,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zakon.rada.gov.ua/laws/show/3236-1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волонтерську діяльність”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Призначення одноразової грошової допомоги в разі загибелі (смерті) або інвалідності деяк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категорій осіб відповідно до Закону України “Про статус ветеранів війни, гарантії їх соціального захисту”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йни, гарантії їх соціального захисту”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01284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льної безпеки і оборони, відсічі і стримування збройної агресії Російської Федерації у Донецькій та Луганській областях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заходів, необхідних для забезпечення оборони України, захисту безпеки населення та інтересів держави у зв’язку з військовою агресією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Російської Федерації проти України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статус ветеранів війни, гарантії їх соціального захисту”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Єдиного державного реєстру ветеранів війни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zakon.rada.gov.ua/laws/show/3551-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“Про статус ветеранів війни, гарантії їх соціального захисту”;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 “Про захист персональних даних”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Одноразова матеріальна допомога членам сімей померлих/загиблих військовослужбовців, які брали участь у відсічі військової агресії російської федерації проти України по факту загибелі/смерті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Щорічна матеріальна допомога членам сімей померлих/загиблих військовослужбовців, які брали участь у відсічі військової агресії російської федерації проти України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вирішення соціально-побутових проблем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Матеріальна допомога на часткову компенсацію членам сімей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загиблих (померлих) Захисників та Захисниць України на виготовлення та встановлення надгробків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Матеріальна допомога членам сімей безвісти зниклих військовослужбовців, які брали участь у відсічі військової агресії російської федерації проти України для вирішення соціально-побутових проблем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Матеріальна допомога Захисникам та Захисницям, які повернулися з полону</w:t>
            </w: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жителів Носівської територіальної громади на 2023-2025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pStyle w:val="12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 зубопротезування Захисникам та Захисницям із супроводжуючим лікуванням</w:t>
            </w: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F29" w:rsidRDefault="00495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Комплексна програма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соціальної підтримки Захисників та Захисниць України і членів їх сімей Носівської міської територіальної громади на 2023-2025 роки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4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«України «Про державну реєстрацію актів цивільного стану»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Сімейний кодекс України</w:t>
            </w:r>
          </w:p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</w:t>
            </w: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</w:pPr>
          </w:p>
        </w:tc>
      </w:tr>
      <w:tr w:rsidR="00495F29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A5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9" w:rsidRDefault="00495F29">
            <w:pPr>
              <w:spacing w:after="0" w:line="240" w:lineRule="auto"/>
              <w:jc w:val="center"/>
            </w:pPr>
          </w:p>
        </w:tc>
      </w:tr>
    </w:tbl>
    <w:p w:rsidR="00495F29" w:rsidRDefault="00A51500">
      <w:pPr>
        <w:pStyle w:val="NoSpacing1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Примітка:</w:t>
      </w:r>
    </w:p>
    <w:p w:rsidR="00495F29" w:rsidRDefault="00A51500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 - послуги соціального характеру  надаються  через ЦНАП Носівської міської ради представниками відділу соціального захисту населення згідно графіку прийому.</w:t>
      </w:r>
    </w:p>
    <w:p w:rsidR="00495F29" w:rsidRDefault="00A51500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 - послуги Пенсійного фонду надаються через ЦНАП Носівської міської ради представниками Пенсійного фонду згідно графіку прийому.</w:t>
      </w:r>
    </w:p>
    <w:p w:rsidR="00495F29" w:rsidRDefault="00A51500">
      <w:pPr>
        <w:pStyle w:val="NoSpacing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 - паспортні послуги будуть надаватися при встановленні обладнання.</w:t>
      </w:r>
    </w:p>
    <w:p w:rsidR="00495F29" w:rsidRDefault="00495F29">
      <w:pPr>
        <w:pStyle w:val="NoSpacing1"/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495F29" w:rsidRDefault="00A51500">
      <w:pPr>
        <w:pStyle w:val="NoSpacing1"/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Альона КРАТКО</w:t>
      </w:r>
    </w:p>
    <w:p w:rsidR="00495F29" w:rsidRDefault="00495F29">
      <w:pPr>
        <w:pStyle w:val="NoSpacing1"/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495F29" w:rsidRDefault="00A51500">
      <w:pPr>
        <w:pStyle w:val="NoSpacing1"/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5F29" w:rsidRDefault="00495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5F29" w:rsidRDefault="00495F29">
      <w:pPr>
        <w:rPr>
          <w:rFonts w:ascii="Times New Roman" w:hAnsi="Times New Roman" w:cs="Times New Roman"/>
          <w:sz w:val="28"/>
          <w:szCs w:val="28"/>
        </w:rPr>
      </w:pPr>
    </w:p>
    <w:p w:rsidR="00495F29" w:rsidRDefault="00495F29">
      <w:pPr>
        <w:rPr>
          <w:rFonts w:ascii="Times New Roman" w:hAnsi="Times New Roman" w:cs="Times New Roman"/>
          <w:sz w:val="28"/>
          <w:szCs w:val="28"/>
        </w:rPr>
      </w:pPr>
    </w:p>
    <w:p w:rsidR="00495F29" w:rsidRDefault="00495F29">
      <w:pPr>
        <w:rPr>
          <w:rFonts w:ascii="Times New Roman" w:hAnsi="Times New Roman" w:cs="Times New Roman"/>
          <w:sz w:val="28"/>
          <w:szCs w:val="28"/>
        </w:rPr>
      </w:pPr>
    </w:p>
    <w:p w:rsidR="00495F29" w:rsidRDefault="00495F29">
      <w:pPr>
        <w:rPr>
          <w:rFonts w:ascii="Times New Roman" w:hAnsi="Times New Roman" w:cs="Times New Roman"/>
          <w:sz w:val="28"/>
          <w:szCs w:val="28"/>
        </w:rPr>
      </w:pPr>
    </w:p>
    <w:p w:rsidR="00495F29" w:rsidRDefault="00495F29">
      <w:pPr>
        <w:rPr>
          <w:rFonts w:ascii="Times New Roman" w:hAnsi="Times New Roman" w:cs="Times New Roman"/>
          <w:sz w:val="28"/>
          <w:szCs w:val="28"/>
        </w:rPr>
      </w:pPr>
    </w:p>
    <w:p w:rsidR="00495F29" w:rsidRDefault="00495F29">
      <w:pPr>
        <w:rPr>
          <w:rFonts w:ascii="Times New Roman" w:hAnsi="Times New Roman" w:cs="Times New Roman"/>
          <w:sz w:val="28"/>
          <w:szCs w:val="28"/>
        </w:rPr>
      </w:pPr>
    </w:p>
    <w:sectPr w:rsidR="00495F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00" w:rsidRDefault="00A51500">
      <w:pPr>
        <w:spacing w:after="0" w:line="240" w:lineRule="auto"/>
      </w:pPr>
      <w:r>
        <w:separator/>
      </w:r>
    </w:p>
  </w:endnote>
  <w:endnote w:type="continuationSeparator" w:id="0">
    <w:p w:rsidR="00A51500" w:rsidRDefault="00A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00" w:rsidRDefault="00A51500">
      <w:pPr>
        <w:spacing w:after="0" w:line="240" w:lineRule="auto"/>
      </w:pPr>
      <w:r>
        <w:separator/>
      </w:r>
    </w:p>
  </w:footnote>
  <w:footnote w:type="continuationSeparator" w:id="0">
    <w:p w:rsidR="00A51500" w:rsidRDefault="00A5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CCC"/>
    <w:multiLevelType w:val="hybridMultilevel"/>
    <w:tmpl w:val="D924B8A6"/>
    <w:lvl w:ilvl="0" w:tplc="5A76C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4978C">
      <w:start w:val="1"/>
      <w:numFmt w:val="lowerLetter"/>
      <w:lvlText w:val="%2."/>
      <w:lvlJc w:val="left"/>
      <w:pPr>
        <w:ind w:left="1440" w:hanging="360"/>
      </w:pPr>
    </w:lvl>
    <w:lvl w:ilvl="2" w:tplc="570E3104">
      <w:start w:val="1"/>
      <w:numFmt w:val="lowerRoman"/>
      <w:lvlText w:val="%3."/>
      <w:lvlJc w:val="right"/>
      <w:pPr>
        <w:ind w:left="2160" w:hanging="180"/>
      </w:pPr>
    </w:lvl>
    <w:lvl w:ilvl="3" w:tplc="C31A5238">
      <w:start w:val="1"/>
      <w:numFmt w:val="decimal"/>
      <w:lvlText w:val="%4."/>
      <w:lvlJc w:val="left"/>
      <w:pPr>
        <w:ind w:left="2880" w:hanging="360"/>
      </w:pPr>
    </w:lvl>
    <w:lvl w:ilvl="4" w:tplc="A976C848">
      <w:start w:val="1"/>
      <w:numFmt w:val="lowerLetter"/>
      <w:lvlText w:val="%5."/>
      <w:lvlJc w:val="left"/>
      <w:pPr>
        <w:ind w:left="3600" w:hanging="360"/>
      </w:pPr>
    </w:lvl>
    <w:lvl w:ilvl="5" w:tplc="215E8C14">
      <w:start w:val="1"/>
      <w:numFmt w:val="lowerRoman"/>
      <w:lvlText w:val="%6."/>
      <w:lvlJc w:val="right"/>
      <w:pPr>
        <w:ind w:left="4320" w:hanging="180"/>
      </w:pPr>
    </w:lvl>
    <w:lvl w:ilvl="6" w:tplc="49605C6A">
      <w:start w:val="1"/>
      <w:numFmt w:val="decimal"/>
      <w:lvlText w:val="%7."/>
      <w:lvlJc w:val="left"/>
      <w:pPr>
        <w:ind w:left="5040" w:hanging="360"/>
      </w:pPr>
    </w:lvl>
    <w:lvl w:ilvl="7" w:tplc="E82A439E">
      <w:start w:val="1"/>
      <w:numFmt w:val="lowerLetter"/>
      <w:lvlText w:val="%8."/>
      <w:lvlJc w:val="left"/>
      <w:pPr>
        <w:ind w:left="5760" w:hanging="360"/>
      </w:pPr>
    </w:lvl>
    <w:lvl w:ilvl="8" w:tplc="878A34A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3A2E"/>
    <w:multiLevelType w:val="hybridMultilevel"/>
    <w:tmpl w:val="68584FD2"/>
    <w:lvl w:ilvl="0" w:tplc="A92ED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AF6F550">
      <w:start w:val="1"/>
      <w:numFmt w:val="lowerLetter"/>
      <w:lvlText w:val="%2."/>
      <w:lvlJc w:val="left"/>
      <w:pPr>
        <w:ind w:left="1785" w:hanging="360"/>
      </w:pPr>
    </w:lvl>
    <w:lvl w:ilvl="2" w:tplc="A7EA3124">
      <w:start w:val="1"/>
      <w:numFmt w:val="lowerRoman"/>
      <w:lvlText w:val="%3."/>
      <w:lvlJc w:val="right"/>
      <w:pPr>
        <w:ind w:left="2505" w:hanging="180"/>
      </w:pPr>
    </w:lvl>
    <w:lvl w:ilvl="3" w:tplc="8C88BD86">
      <w:start w:val="1"/>
      <w:numFmt w:val="decimal"/>
      <w:lvlText w:val="%4."/>
      <w:lvlJc w:val="left"/>
      <w:pPr>
        <w:ind w:left="3225" w:hanging="360"/>
      </w:pPr>
    </w:lvl>
    <w:lvl w:ilvl="4" w:tplc="41C4813C">
      <w:start w:val="1"/>
      <w:numFmt w:val="lowerLetter"/>
      <w:lvlText w:val="%5."/>
      <w:lvlJc w:val="left"/>
      <w:pPr>
        <w:ind w:left="3945" w:hanging="360"/>
      </w:pPr>
    </w:lvl>
    <w:lvl w:ilvl="5" w:tplc="505898F8">
      <w:start w:val="1"/>
      <w:numFmt w:val="lowerRoman"/>
      <w:lvlText w:val="%6."/>
      <w:lvlJc w:val="right"/>
      <w:pPr>
        <w:ind w:left="4665" w:hanging="180"/>
      </w:pPr>
    </w:lvl>
    <w:lvl w:ilvl="6" w:tplc="C9A8C66A">
      <w:start w:val="1"/>
      <w:numFmt w:val="decimal"/>
      <w:lvlText w:val="%7."/>
      <w:lvlJc w:val="left"/>
      <w:pPr>
        <w:ind w:left="5385" w:hanging="360"/>
      </w:pPr>
    </w:lvl>
    <w:lvl w:ilvl="7" w:tplc="80A00148">
      <w:start w:val="1"/>
      <w:numFmt w:val="lowerLetter"/>
      <w:lvlText w:val="%8."/>
      <w:lvlJc w:val="left"/>
      <w:pPr>
        <w:ind w:left="6105" w:hanging="360"/>
      </w:pPr>
    </w:lvl>
    <w:lvl w:ilvl="8" w:tplc="75C6B82C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277155"/>
    <w:multiLevelType w:val="hybridMultilevel"/>
    <w:tmpl w:val="4AA28C04"/>
    <w:lvl w:ilvl="0" w:tplc="200E1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3613D4">
      <w:start w:val="1"/>
      <w:numFmt w:val="lowerLetter"/>
      <w:lvlText w:val="%2."/>
      <w:lvlJc w:val="left"/>
      <w:pPr>
        <w:ind w:left="1440" w:hanging="360"/>
      </w:pPr>
    </w:lvl>
    <w:lvl w:ilvl="2" w:tplc="06A682CC">
      <w:start w:val="1"/>
      <w:numFmt w:val="lowerRoman"/>
      <w:lvlText w:val="%3."/>
      <w:lvlJc w:val="right"/>
      <w:pPr>
        <w:ind w:left="2160" w:hanging="180"/>
      </w:pPr>
    </w:lvl>
    <w:lvl w:ilvl="3" w:tplc="2EB8D07C">
      <w:start w:val="1"/>
      <w:numFmt w:val="decimal"/>
      <w:lvlText w:val="%4."/>
      <w:lvlJc w:val="left"/>
      <w:pPr>
        <w:ind w:left="2880" w:hanging="360"/>
      </w:pPr>
    </w:lvl>
    <w:lvl w:ilvl="4" w:tplc="E140D7AE">
      <w:start w:val="1"/>
      <w:numFmt w:val="lowerLetter"/>
      <w:lvlText w:val="%5."/>
      <w:lvlJc w:val="left"/>
      <w:pPr>
        <w:ind w:left="3600" w:hanging="360"/>
      </w:pPr>
    </w:lvl>
    <w:lvl w:ilvl="5" w:tplc="AA66B4F4">
      <w:start w:val="1"/>
      <w:numFmt w:val="lowerRoman"/>
      <w:lvlText w:val="%6."/>
      <w:lvlJc w:val="right"/>
      <w:pPr>
        <w:ind w:left="4320" w:hanging="180"/>
      </w:pPr>
    </w:lvl>
    <w:lvl w:ilvl="6" w:tplc="A5CE5D8A">
      <w:start w:val="1"/>
      <w:numFmt w:val="decimal"/>
      <w:lvlText w:val="%7."/>
      <w:lvlJc w:val="left"/>
      <w:pPr>
        <w:ind w:left="5040" w:hanging="360"/>
      </w:pPr>
    </w:lvl>
    <w:lvl w:ilvl="7" w:tplc="CB12FC7E">
      <w:start w:val="1"/>
      <w:numFmt w:val="lowerLetter"/>
      <w:lvlText w:val="%8."/>
      <w:lvlJc w:val="left"/>
      <w:pPr>
        <w:ind w:left="5760" w:hanging="360"/>
      </w:pPr>
    </w:lvl>
    <w:lvl w:ilvl="8" w:tplc="172C4E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29"/>
    <w:rsid w:val="00495F29"/>
    <w:rsid w:val="00A51500"/>
    <w:rsid w:val="00F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Абзац списка1"/>
    <w:basedOn w:val="a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j2">
    <w:name w:val="tj2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c">
    <w:name w:val="Body Text Indent"/>
    <w:basedOn w:val="a"/>
    <w:link w:val="a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e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Другое_"/>
    <w:basedOn w:val="a0"/>
    <w:link w:val="aff0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Другое"/>
    <w:basedOn w:val="a"/>
    <w:link w:val="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Абзац списка1"/>
    <w:basedOn w:val="a"/>
    <w:pPr>
      <w:spacing w:after="160" w:line="259" w:lineRule="auto"/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NoSpacing1">
    <w:name w:val="No Spacing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j2">
    <w:name w:val="tj2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c">
    <w:name w:val="Body Text Indent"/>
    <w:basedOn w:val="a"/>
    <w:link w:val="a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e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Другое_"/>
    <w:basedOn w:val="a0"/>
    <w:link w:val="aff0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Другое"/>
    <w:basedOn w:val="a"/>
    <w:link w:val="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3551-1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3551-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3236-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styles" Target="styles.xml"/><Relationship Id="rId15" Type="http://schemas.openxmlformats.org/officeDocument/2006/relationships/hyperlink" Target="https://zakon.rada.gov.ua/laws/show/3551-1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3551-1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323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A602-96FF-4E4B-9538-2BB65C1130F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1E4FCD4-ABDA-40CB-906E-12C1D4B6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7244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CNAP</cp:lastModifiedBy>
  <cp:revision>2</cp:revision>
  <dcterms:created xsi:type="dcterms:W3CDTF">2024-01-11T07:23:00Z</dcterms:created>
  <dcterms:modified xsi:type="dcterms:W3CDTF">2024-01-11T07:23:00Z</dcterms:modified>
</cp:coreProperties>
</file>